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36" w:rsidRPr="00D20636" w:rsidRDefault="00D20636" w:rsidP="00D206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45F4AB9">
            <wp:extent cx="5944235" cy="1036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636" w:rsidRPr="00D20636" w:rsidRDefault="00D20636" w:rsidP="00D20636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УТВЪРЖДАВАМ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20636" w:rsidRPr="00D20636" w:rsidRDefault="00D20636" w:rsidP="00D20636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D20636" w:rsidRPr="00D20636" w:rsidRDefault="00D20636" w:rsidP="00D20636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СТРАТЕГИЯ</w:t>
      </w:r>
    </w:p>
    <w:p w:rsidR="00D20636" w:rsidRDefault="00D20636" w:rsidP="00D20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ЗА РАЗВИТИЕ НА 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bg-BG"/>
        </w:rPr>
        <w:t>обединено училище „христо ботев“</w:t>
      </w:r>
    </w:p>
    <w:p w:rsidR="00D20636" w:rsidRPr="00D20636" w:rsidRDefault="00D20636" w:rsidP="00D20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bg-BG"/>
        </w:rPr>
        <w:t>с. дъбница, обл. благоевград</w:t>
      </w:r>
    </w:p>
    <w:p w:rsidR="00D20636" w:rsidRPr="00D20636" w:rsidRDefault="00D20636" w:rsidP="00D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                </w:t>
      </w:r>
      <w:r w:rsidR="00F43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20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2021 – 2025 г.</w:t>
      </w:r>
    </w:p>
    <w:p w:rsidR="00D20636" w:rsidRPr="00D20636" w:rsidRDefault="00D20636" w:rsidP="00D206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14583" w:rsidRDefault="00D14583" w:rsidP="00D20636">
      <w:pPr>
        <w:spacing w:after="0" w:line="240" w:lineRule="auto"/>
        <w:ind w:left="-1276" w:right="-1276" w:firstLine="19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14583" w:rsidRDefault="00D14583" w:rsidP="00D20636">
      <w:pPr>
        <w:spacing w:after="0" w:line="240" w:lineRule="auto"/>
        <w:ind w:left="-1276" w:right="-1276" w:firstLine="19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14583" w:rsidRDefault="00D14583" w:rsidP="00D20636">
      <w:pPr>
        <w:spacing w:after="0" w:line="240" w:lineRule="auto"/>
        <w:ind w:left="-1276" w:right="-1276" w:firstLine="19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ind w:left="-1276" w:right="-1276" w:firstLine="199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Стратегията за разви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тие на училището за периода 2021 - 2025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е приета на заседание на педагогич</w:t>
      </w:r>
      <w:r w:rsidR="00FC6D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еския съвет (протокол № 4/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г.) и е </w:t>
      </w:r>
      <w:r w:rsidR="00FC6D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утвърдена със заповед № РД-08-130/12.01.2021</w:t>
      </w:r>
      <w:bookmarkStart w:id="0" w:name="_GoBack"/>
      <w:bookmarkEnd w:id="0"/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г. на директора на училището</w:t>
      </w:r>
    </w:p>
    <w:p w:rsidR="00D20636" w:rsidRPr="00D20636" w:rsidRDefault="00D20636" w:rsidP="00D2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Default="008A77BF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4583" w:rsidRPr="00D20636" w:rsidRDefault="00D14583" w:rsidP="008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> </w:t>
      </w:r>
    </w:p>
    <w:tbl>
      <w:tblPr>
        <w:tblW w:w="12480" w:type="dxa"/>
        <w:jc w:val="center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0"/>
      </w:tblGrid>
      <w:tr w:rsidR="00D20636" w:rsidRPr="00D20636" w:rsidTr="00D20636">
        <w:trPr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 xml:space="preserve">           Пре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дставеният документ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е изготвен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„Хр.Ботев“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със следните характеристики: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Обединено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училище, неспециализ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ирано, общинско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В годината на разработване на стратегията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в училището се обучават около 150 ученика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до Х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клас.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Целодневна организация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 учебния ден е създадена за 121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ученици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начален и 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огимназиален етап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училището се обучава 1 ученик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със специал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ни образователни потребности/в края на 2020 г./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Учениците с различен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етнически произход (ромски) са 6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0 % от общия брой на учениците.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Училищната общност е много добре функционираща – формиран 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Обществен съвет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, училището осъществява пълноценно сътрудничество с друг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 училища и община Гърмен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Квалификацията на учителите е изведена като водещ училищен приоритет; прилагат се форми на наставничество на млади и новоназначени учители, както и на такива, които за известен период са били извън системата на училищното образование.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Училището развива активна дейн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ост по </w:t>
            </w:r>
            <w:r w:rsidR="003A2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национални образователни</w:t>
            </w:r>
            <w:r w:rsidRPr="00D2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проекти.</w:t>
            </w:r>
          </w:p>
          <w:p w:rsidR="00D20636" w:rsidRPr="00D20636" w:rsidRDefault="00D20636" w:rsidP="00D20636">
            <w:pPr>
              <w:spacing w:before="240" w:after="0" w:line="240" w:lineRule="auto"/>
              <w:ind w:left="714"/>
              <w:jc w:val="both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D20636" w:rsidRPr="00D20636" w:rsidRDefault="00D20636" w:rsidP="00D206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239C" w:rsidRDefault="003A239C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39C" w:rsidRDefault="003A239C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39C" w:rsidRDefault="003A239C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стратегия за развитие на </w:t>
      </w:r>
      <w:proofErr w:type="spellStart"/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proofErr w:type="spellEnd"/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Ботев“, с. Дъбница 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2021/2025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очертава в дългосрочен план пътя и насоките за развитие, основните тенденции, цели, задачи и приоритети в дейността на училищната институция, както и ресурсите, с които училището ще постигне нейното изпълнение. С реализирането на стратегията ще се отговори на очакванията на всички участници в образователния процес:</w:t>
      </w:r>
    </w:p>
    <w:p w:rsidR="00D20636" w:rsidRPr="00D20636" w:rsidRDefault="00D20636" w:rsidP="00D20636">
      <w:pPr>
        <w:spacing w:line="253" w:lineRule="atLeast"/>
        <w:ind w:left="720" w:hanging="360"/>
        <w:jc w:val="both"/>
        <w:rPr>
          <w:rFonts w:ascii="Calibri" w:eastAsia="Times New Roman" w:hAnsi="Calibri" w:cs="Calibri"/>
          <w:lang w:eastAsia="bg-BG"/>
        </w:rPr>
      </w:pPr>
      <w:r w:rsidRPr="00D20636">
        <w:rPr>
          <w:rFonts w:ascii="Symbol" w:eastAsia="Times New Roman" w:hAnsi="Symbol" w:cs="Calibri"/>
          <w:sz w:val="24"/>
          <w:szCs w:val="24"/>
          <w:lang w:eastAsia="bg-BG"/>
        </w:rPr>
        <w:lastRenderedPageBreak/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учениците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създаване на оптимални условия за обучение, възпитание и развитие на всеки ученик съобразно индивидуалните му способности и потребности чрез изграждане на образователно пространство, в което всеки ученик да намери себе си, да почувства и съпреживее ситуация на успех в процеса на своето обучение;</w:t>
      </w:r>
    </w:p>
    <w:p w:rsidR="00D20636" w:rsidRPr="00D20636" w:rsidRDefault="00D20636" w:rsidP="00D20636">
      <w:pPr>
        <w:spacing w:line="253" w:lineRule="atLeast"/>
        <w:ind w:left="720" w:hanging="360"/>
        <w:jc w:val="both"/>
        <w:rPr>
          <w:rFonts w:ascii="Calibri" w:eastAsia="Times New Roman" w:hAnsi="Calibri" w:cs="Calibri"/>
          <w:lang w:eastAsia="bg-BG"/>
        </w:rPr>
      </w:pPr>
      <w:r w:rsidRPr="00D20636">
        <w:rPr>
          <w:rFonts w:ascii="Symbol" w:eastAsia="Times New Roman" w:hAnsi="Symbol" w:cs="Calibri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родителите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удовлетворяване на очакванията за съвременна организация на образователния процес и постигане на по-високо качество и резултати от училищното образование;</w:t>
      </w:r>
    </w:p>
    <w:p w:rsidR="00D20636" w:rsidRPr="00D20636" w:rsidRDefault="00D20636" w:rsidP="00D20636">
      <w:pPr>
        <w:spacing w:line="253" w:lineRule="atLeast"/>
        <w:ind w:left="720" w:hanging="360"/>
        <w:jc w:val="both"/>
        <w:rPr>
          <w:rFonts w:ascii="Calibri" w:eastAsia="Times New Roman" w:hAnsi="Calibri" w:cs="Calibri"/>
          <w:lang w:eastAsia="bg-BG"/>
        </w:rPr>
      </w:pPr>
      <w:r w:rsidRPr="00D20636">
        <w:rPr>
          <w:rFonts w:ascii="Symbol" w:eastAsia="Times New Roman" w:hAnsi="Symbol" w:cs="Calibri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обществото и пазара на труда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изграждане у учениците на социално-значими жизнени ценности, професионално-личностни компетенции, които да отговарят на потребностите на обществото;</w:t>
      </w:r>
    </w:p>
    <w:p w:rsidR="00D20636" w:rsidRPr="00D20636" w:rsidRDefault="00D20636" w:rsidP="00D20636">
      <w:pPr>
        <w:spacing w:line="253" w:lineRule="atLeast"/>
        <w:ind w:left="720" w:hanging="360"/>
        <w:jc w:val="both"/>
        <w:rPr>
          <w:rFonts w:ascii="Calibri" w:eastAsia="Times New Roman" w:hAnsi="Calibri" w:cs="Calibri"/>
          <w:lang w:eastAsia="bg-BG"/>
        </w:rPr>
      </w:pPr>
      <w:r w:rsidRPr="00D20636">
        <w:rPr>
          <w:rFonts w:ascii="Symbol" w:eastAsia="Times New Roman" w:hAnsi="Symbol" w:cs="Calibri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педагогическите специалисти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формиране у учениците на нагласа за непрекъснато образование, </w:t>
      </w:r>
      <w:proofErr w:type="spellStart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саморазвитие</w:t>
      </w:r>
      <w:proofErr w:type="spellEnd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самореализация</w:t>
      </w:r>
      <w:proofErr w:type="spellEnd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0636" w:rsidRPr="00D20636" w:rsidRDefault="00D20636" w:rsidP="00D20636">
      <w:pPr>
        <w:spacing w:line="253" w:lineRule="atLeast"/>
        <w:ind w:firstLine="720"/>
        <w:jc w:val="both"/>
        <w:rPr>
          <w:rFonts w:ascii="Calibri" w:eastAsia="Times New Roman" w:hAnsi="Calibri" w:cs="Calibri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АНАЛИЗ И ОЦЕНКА НА АКТУАЛНОТО СЪСТОЯНИЕ НА УЧИЛИЩЕТО И УСЛОВИЯТА, ПРИ КОИТО ФУНКЦИОНИРА</w:t>
      </w:r>
    </w:p>
    <w:p w:rsidR="00D20636" w:rsidRPr="00D20636" w:rsidRDefault="00D20636" w:rsidP="00D2063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D20636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Характеристика 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(профил)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на училището</w:t>
      </w:r>
    </w:p>
    <w:p w:rsidR="00D20636" w:rsidRPr="00D20636" w:rsidRDefault="003A239C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Ботев“</w:t>
      </w:r>
      <w:r w:rsidR="00D20636"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общинско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училище. Броят на ученици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в дневна форма през 2020/2021 учебна година е 150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(най-малък брой ученици през последните три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години), разпределени в 9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паралелки. В училището е създадена добра система на организация на всички видове дейности, съгласуваност и отчетност на резултатите. Правилното планиране на образователната дейност, умелото ѝ осъществяване и контрол допринасят за усъвършенстване качеството на организацията, структурата и методиката на обуче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в училище.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Педагогическите специалисти и учениците се включват активно в образователни, културни и социални инициативи, организирани на училищно, общинско, областно и национално ниво. Осъществяват се дейности, свързани както с образователната дейност, така и широк спектър от извънкласни и извънучилищни дейности.</w:t>
      </w:r>
    </w:p>
    <w:p w:rsidR="00D20636" w:rsidRPr="003A239C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 в дейността на училището е качественото обучение по всички учебни предмети и постигане на добри резултати на НВ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VII  и </w:t>
      </w:r>
      <w:r w:rsidR="003A23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процеса на обучение особено внимание се отделя на стимулиране интереса на учениците към овладяване на книжовния български език като основна предпоставка за успешно възприемане на учебното съдържание по всички 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 предмети.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се тенденцията за постоянно нарастване качеството на подготовката на завършващите </w:t>
      </w:r>
      <w:r w:rsidR="003A23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степен на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образование. Много ви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сок е процентът на приетите в средните училища в района и във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висши училища по специалности, близки или 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 с изучаваните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предмети в гимназиален етап. Голяма роля за качествената </w:t>
      </w:r>
      <w:proofErr w:type="spellStart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урочна</w:t>
      </w:r>
      <w:proofErr w:type="spellEnd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 има педагогическият екип на училището – високо квалифицирани учители, прилагащи съвременни методи на обучение и възпитание в работата си.</w:t>
      </w:r>
    </w:p>
    <w:p w:rsidR="00D20636" w:rsidRPr="00D20636" w:rsidRDefault="00D20636" w:rsidP="003A2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Удовлетворяващо е представянето на учениците на състезания и конкурси на различни нива, както и включването им в различните извънкласни дейности, с които се цели учениците да получат възможност за лична и творческа изява, д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впишат в училищната среда.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Наложилият се стил на екипност в работата и положителното отношение на училищното ръководство към училищния персонал, партньорството с родители и заинтересовани страни и институции са също фактори, които определят положителната характеристика на училището и добрия му имидж.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Горепосочените положителни резултати предопределят целите и посок</w:t>
      </w:r>
      <w:r w:rsidR="003A239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развитие за периода 2021/2025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година, като се отчетат и състоянието на училището и на външната среда.</w:t>
      </w:r>
    </w:p>
    <w:p w:rsidR="00D20636" w:rsidRPr="00D20636" w:rsidRDefault="00D20636" w:rsidP="00D2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D20636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АНАЛИЗ</w:t>
      </w:r>
      <w:r w:rsidR="003A23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ВЪНШНАТА СРЕДА</w:t>
      </w:r>
    </w:p>
    <w:p w:rsidR="00D20636" w:rsidRPr="00D20636" w:rsidRDefault="00D20636" w:rsidP="00D2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Външните фактори имат негативно въздействие върху развитието на образователната система, което се изразява в дисхармония между мисията на училището и очакванията и изискванията към качеството на образованието. Училището като институция функционира в условията на агресивна среда, която оказва силно влияние върху личността на учениците, мотивацията им за учене, а също така и върху поведението им. Основният, очертаващ се проблем е свързан с намирането на адекватна и успешна реакция за преодоляване на отрицателното въздействие.</w:t>
      </w:r>
    </w:p>
    <w:p w:rsidR="00D20636" w:rsidRPr="00D20636" w:rsidRDefault="00D20636" w:rsidP="00D2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Анализ на тенденциите на външната среда</w:t>
      </w:r>
    </w:p>
    <w:tbl>
      <w:tblPr>
        <w:tblW w:w="12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5147"/>
        <w:gridCol w:w="5626"/>
      </w:tblGrid>
      <w:tr w:rsidR="00D20636" w:rsidRPr="00D20636" w:rsidTr="00D20636">
        <w:trPr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Среда</w:t>
            </w:r>
          </w:p>
        </w:tc>
        <w:tc>
          <w:tcPr>
            <w:tcW w:w="6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Тенденции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Последствия</w:t>
            </w:r>
          </w:p>
        </w:tc>
      </w:tr>
      <w:tr w:rsidR="00D20636" w:rsidRPr="00D20636" w:rsidTr="00D20636">
        <w:trPr>
          <w:jc w:val="center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ЗПУО – образованието е национален приоритет.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Разминаване между обществените потребности и продукта на образованието.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Качествена промяна във философията на образователната система: нова образователна структура, организацията на обучение, гъвкавост и свобода на учебните планове и програми, ново отношение към ученика и учителя и неговата квалификация и кариерно израстване, оптимизирана система на оценяване, форми за цялостна и индивидуализирана подкрепа на учениците и др.</w:t>
            </w:r>
          </w:p>
        </w:tc>
      </w:tr>
      <w:tr w:rsidR="00D20636" w:rsidRPr="00D20636" w:rsidTr="00D20636">
        <w:trPr>
          <w:jc w:val="center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икономическа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Нестабилна/неработеща икономика.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Социални неравенства – ниски доходи на семействата, безработни родители.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Съществен ръст на заплатите на педагогическите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специалисти през последните години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Свиване на разходната част от бюджета на у</w:t>
            </w:r>
            <w:r w:rsidR="003A2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чилището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Ученици напускат училището – семействата заминават в чужбина.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Недостатъчна материална осигуреност на ученика.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се повишава достатъчно мотивацията на учителите за отговорно и съзнателно отношение към професионалните им задължения.</w:t>
            </w:r>
          </w:p>
        </w:tc>
      </w:tr>
      <w:tr w:rsidR="00D20636" w:rsidRPr="00D20636" w:rsidTr="00D20636">
        <w:trPr>
          <w:jc w:val="center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социална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Влошаване на демографските показатели.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заинтересованост на родителите.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Отрицателно влияние на средата върху възпитанието на учениците и мотивите за учене.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Нисък социален статус на учителите.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броя на учениците.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Нарастване на социалните различия между учениците.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Влошени показатели на възпитателната дейност в училище.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мотивация за учене.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Негативно отношение към училището.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Очертаваща се криза за учителски кадри, нежелание на студентите да се реализират в учителската професия.</w:t>
            </w:r>
          </w:p>
        </w:tc>
      </w:tr>
      <w:tr w:rsidR="00D20636" w:rsidRPr="00D20636" w:rsidTr="00D20636">
        <w:trPr>
          <w:jc w:val="center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технологична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технологичното обезпечаване на образованието: ИКТ, интернет, електронни ресурси.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във визията и съдържанието на педагогическите технологии.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Добра материална база, съдържаща условия за повишаване на качеството ефективността на образователния процес.</w:t>
            </w:r>
          </w:p>
        </w:tc>
      </w:tr>
      <w:tr w:rsidR="00D20636" w:rsidRPr="00D20636" w:rsidTr="00D20636">
        <w:trPr>
          <w:jc w:val="center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законова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ЗПУО и държавни образователни стандарти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прозрачност и предвидимост на политиките, които се предприемат в системата.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Постигнат разумен баланс между нормативност (рамка) и овластяване и свобода на отделните участници в процеса на училищното образование – училищата, учителите, родителите, учениците.</w:t>
            </w:r>
          </w:p>
        </w:tc>
      </w:tr>
    </w:tbl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Изводи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Въздействието, което оказва външната среда върху българското училище, е противоречиво. Изразени негативни фактори са икономическата и социалната среда, които имат определящо значение за образователната система. Прогнозите за тяхното развитие и влияние са в</w:t>
      </w:r>
      <w:r w:rsidR="008E52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зависимост от външни и вътрешно-политически фактори. При тази неопределеност е трудно да се предвиди тенденцията в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развитието им. Може обаче да приемем на базата на сегашното им състояние, че те ще запазят негативното си въздействие върху образователната система.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E52E0" w:rsidRDefault="00D20636" w:rsidP="00D2063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D20636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АНАЛИЗ И ОЦЕНКА НА СЪСТОЯНИЕТО НА УЧИЛИЩЕТО </w:t>
      </w:r>
    </w:p>
    <w:p w:rsidR="00D20636" w:rsidRPr="00D20636" w:rsidRDefault="008E52E0" w:rsidP="00D2063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D20636"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(SWOT-АНАЛИЗ)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SWOT-анализа </w:t>
      </w:r>
      <w:r w:rsidRPr="008E52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(силни, слаби страни, възможности, заплахи)</w:t>
      </w:r>
      <w:r w:rsidRPr="008E52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се определи състоянието на училището като система.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2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6265"/>
      </w:tblGrid>
      <w:tr w:rsidR="00D20636" w:rsidRPr="00D20636" w:rsidTr="00D20636">
        <w:trPr>
          <w:jc w:val="center"/>
        </w:trPr>
        <w:tc>
          <w:tcPr>
            <w:tcW w:w="7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СИЛНИ СТРАНИ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ВЪЗМОЖНОСТИ</w:t>
            </w:r>
          </w:p>
        </w:tc>
      </w:tr>
      <w:tr w:rsidR="00D20636" w:rsidRPr="00D20636" w:rsidTr="00D20636">
        <w:trPr>
          <w:jc w:val="center"/>
        </w:trPr>
        <w:tc>
          <w:tcPr>
            <w:tcW w:w="7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ОБРАЗОВАТЕЛЕН ПРОЦЕС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Относително стабилни и 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оптимални резултати на НВО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съотносими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регионалните и националните, висок процент на прием във ВУЗ.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Профилирано обучение в гимназиален етап, насочено към усвояване на ключови компетентности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лидер 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обучението по ИТ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Добър опит в обучението на ученици със специални образователни потребности.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Създадени условия за целодневна организация на учебния ден.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УЧЕНИЦИ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учениците като партньори в образователния процес и при разработване и реализиране на проекти.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Добра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пълняемост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паралелките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отпаднали ученици през последните три години поради отсъствия и слаб успех.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Увеличава се броят на учениците, продължаващи обучението си в училището след завършен 7 клас в профилираната паралелка.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Достойно представяне на общински, областни, национални олимпиади и конкурси в различни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области.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СПЕЦИАЛИСТИ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Кадрова осигуреност с квалифицирани учители, повече от 50 % от учителите имат защитена ПКС (І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V).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Създадени условия за повишаване на квалификацията на учителите и наставничество, обмен на успешни педагогически практики, МО.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учители във форуми по проблемите на образованието.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Системен контрол върху качеството на образователния процес.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Екипност и диалогичност в работата на всички нива.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Добър ръководен екип, комисии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подпомагащи ръководството на училището.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 институционално взаимодействие.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УПРАВЛЕНИЕ, ОБРАЗОВАНИЕ И ВЪЗПИТАНИЕ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свободен, неограничен и равен достъп до образование.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Високи стандарти на предлаганото образование.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Дългогодишни традиции и резултати в образователната дейност, съобразена със социално-икономическото развитие на региона.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Работеща и ефективна вътрешна нормативна уредба.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Ритуализация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училищния живот.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 дейността на училището чрез поддържане на актуален сайт и местните печатни и електронни медии.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Добра координация и обмен на информация между класни ръко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водители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ръководството на училището при работа с учениците с проблемно поведение и в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риск от отпадане.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Осигурени здравословни и безопасни условия за опазване на живота и здравето на участниците в образователния процес.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МАТЕРИАЛНИ РЕСУРСИ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Относително добра материална база – учебни кабинети, компютърни зали, му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лтимедийни кабинет, спортна площадка,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достъп до Интернет,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Wi-Fi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мрежа,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видеонаблюдение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Учебно-технически средства – преносими компютри, мултимедии, компютърни терминални решения, техника за размножаване, интерактивни бели дъски, наличие на информационни програмни продукти.</w:t>
            </w:r>
          </w:p>
          <w:p w:rsid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и подобряване на МТБ 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според възможностите на бюджета/ функционира нова пристройка, предстои изграждане на 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STEM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кабинет/</w:t>
            </w:r>
          </w:p>
          <w:p w:rsidR="00D00F29" w:rsidRPr="00D00F29" w:rsidRDefault="00D00F29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ФИНАНСОВИ РЕСУРСИ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 управление на финансовите средства в условията на делегирани бюджети.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Обективност, публичност и достъпност при разработване и управление на бюджета.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Управленска култура на ръководството и връзка между управленските функции: планиране, организиране, координиране и контрол.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Коректно и редовно обезпечаване на средствата за заплати и възнаграждения, осигурителни вноски, ДТВ, средства за облекло.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ПАРТНЬОРСТВА И ЗАИНТЕРЕСОВАНИ СТРАНИ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Съвместна работа с местни структури: РУО – </w:t>
            </w:r>
            <w:r w:rsidR="00D00F29">
              <w:rPr>
                <w:rFonts w:ascii="Calibri" w:eastAsia="Times New Roman" w:hAnsi="Calibri" w:cs="Calibri"/>
                <w:lang w:eastAsia="bg-BG"/>
              </w:rPr>
              <w:t>Благоевград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Общинa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– </w:t>
            </w:r>
            <w:r w:rsidR="00D00F29">
              <w:rPr>
                <w:rFonts w:ascii="Calibri" w:eastAsia="Times New Roman" w:hAnsi="Calibri" w:cs="Calibri"/>
                <w:lang w:eastAsia="bg-BG"/>
              </w:rPr>
              <w:t>Гърмен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Дирекция „Социално подпомагане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– Отдел „Закрила на детето“,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Ресурсен център, културни институти, мед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lastRenderedPageBreak/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 на демографската перспектива на общината и региона във връзка с успешното реализиране на приема при условията на ЗПУО.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 на личностното развитие на учениците, превенция на обучителните трудности и ранно оценяване на риска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–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Превенция на агресията и противообществените прояви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капацитета на учителите за промяна на стила и методите на работа и ориентиране на обучението към потребностите на отделната личност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квалификацията, обмяна на добри педагогически практики и внедряване на иновации на базата на ИКТ.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Оптимизиране на училищните учебни планове в прогимназиален и гимназиален етап – разширяване кръга на избираемите и факултативните предмети.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Разширяване на приема след завършено основно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образование съгласно ЗП</w:t>
            </w:r>
            <w:r w:rsidR="008E52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УО – профилирано 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обучение.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връзките с НПО и реализиране на проекти по програми на ЕС.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Превръщане на училището в център за предоставяне на образователни услуги – кариерно ориентиране, извънкласни дейности, занимания със спорт и др.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възможности за развитие и изява на талантливи ученици.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Високи изисквания към собствената научна и педагогическа подготовка, изпълнение на личен план за развитие на педагогическия специалист.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портфолиото като инструмент за професионално развитие и оценка.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съвременни образователни технологии за мотивиране на учениците и прилагане на усвоените знания в практиката.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Ефективност на работата на МО за повишаване подготовката на учителите и споделяне на добри практики.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Преодоляване на рутината и формалното изпълнение на служебните задължения.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кариерно развитие.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Разширяване възможностите за 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вътрешноинституционална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извънучилищна квалификационна дейност.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Сътрудничеството с родителите: структуриране и дейност на обществения съвет и училищно настоятелство, изпълнение на инициативи и съвместни дейности.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Достъп до Национални програми и програми на ЕС и активно включване на учители и ученици в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разработване на проекти.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Актуализиране на училищните политики с оглед поетапното въвеждане на ЗПУО.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Непрекъснат мониторинг на дейностите в образователния процес и своевременно предприемане на действия за неговото подобряване.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Целенасочени дейности за поддържане и издигане имиджа на училището.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Оптимизиране на екипната работа в различни направления.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Осъвременяване на МТБ и продължаване внедряването на иновации на базата на ИКТ.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риска от достъп на външни лица в сградата на училището и създаване условия за инциденти.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Усвояване на средства по проекти.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Гъвкаво използване на системата за оценяване на постигнатите резултати от труда на педагогическите специалисти и за определяне на ДМС на педагогическите специалисти и непедагогическия персонал.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Стимулиране на дарителската дейност.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партньорствата с институции и НПО.</w:t>
            </w:r>
          </w:p>
        </w:tc>
      </w:tr>
      <w:tr w:rsidR="00D20636" w:rsidRPr="00D20636" w:rsidTr="00D20636">
        <w:trPr>
          <w:jc w:val="center"/>
        </w:trPr>
        <w:tc>
          <w:tcPr>
            <w:tcW w:w="7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СЛАБИ СТРАНИ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ЗАПЛАХИ</w:t>
            </w:r>
          </w:p>
        </w:tc>
      </w:tr>
      <w:tr w:rsidR="00D20636" w:rsidRPr="00D20636" w:rsidTr="00D20636">
        <w:trPr>
          <w:jc w:val="center"/>
        </w:trPr>
        <w:tc>
          <w:tcPr>
            <w:tcW w:w="7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Непостоянен към намаляващ брой на учениците.</w:t>
            </w:r>
          </w:p>
          <w:p w:rsidR="00D20636" w:rsidRPr="00D20636" w:rsidRDefault="00D20636" w:rsidP="00D00F29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Недостатъчни умения на учителите за използване и създаване на електронни учебни ресурси.</w:t>
            </w:r>
          </w:p>
          <w:p w:rsidR="00D20636" w:rsidRPr="00D20636" w:rsidRDefault="00D20636" w:rsidP="00D00F29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Увеличаващ се процент на незаинтересовани и неактивни родители.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Недостатъчни финансови средства за капиталови разходи и текущи ремонти.</w:t>
            </w:r>
          </w:p>
          <w:p w:rsidR="00D20636" w:rsidRPr="00D20636" w:rsidRDefault="00D20636" w:rsidP="00D00F29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Недостатъчни умения за справяне с ниската мотивация за учене.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Липса на условия за обучение на ученици с увреждания (подстъпи, асансьор, специални тоалетни).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Недостатъчно използване на възможностите за привличане на родителите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00F29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Демографски срив в региона, обезлюдяване, ръст на миграцията, ниска степен на раждаемост и в резултат намаляване броя на учениците, кое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ще се отрази на приема в първи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и след основно образование.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безработица и икономическа несигурност, което затруднява образователния процес.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Отрицателно влияние на обкръжаващата среда върху образователния процес.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Небалансиран прием в училищата от града, водещ до „разсейване“ на учениците.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Липса на ясна политика на местно ниво по отношение на видовете училища, профилите, професиите и специалностите, съобразени с нуждите на бизнеса и региона, водеща до нелоялна конкуренция.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Нисък социален статус и недостатъчен авторитет на българския учител, застаряващ учителски състав и феминизация на учителската професия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заинтересованост на голяма част от родителите към случващото се в училище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Негативно отношение към училището и липса на мотиви за учене – по-ниски резултати от учебната дейност.</w:t>
            </w:r>
          </w:p>
          <w:p w:rsidR="00D20636" w:rsidRPr="00D20636" w:rsidRDefault="00D20636" w:rsidP="00D20636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D20636">
              <w:rPr>
                <w:rFonts w:ascii="Wingdings" w:eastAsia="Times New Roman" w:hAnsi="Wingdings" w:cs="Calibri"/>
                <w:sz w:val="24"/>
                <w:szCs w:val="24"/>
                <w:lang w:eastAsia="bg-BG"/>
              </w:rPr>
              <w:t>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Висока средна възраст на педагогиче</w:t>
            </w:r>
            <w:r w:rsidR="00D0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ските специалисти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D20636" w:rsidRPr="00D20636" w:rsidRDefault="00D20636" w:rsidP="00D2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Изводи: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Анализът показва, че релацията „силни страни – възможности“ има по-голяма тежест, което определя стратегия за развитие, насочена към затвърдяване и развитие на постигнатите позиции и разкриване на нови перспективи.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II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ВИЗИЯ</w:t>
      </w:r>
    </w:p>
    <w:p w:rsidR="00D20636" w:rsidRPr="00D20636" w:rsidRDefault="00D00F29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Ботев“, с. Дъбница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продължи да се утвърждава и развива като училище, предоставящо качествено и актуално образование, в което се прилагат съвременни педагогически технологии, което ангажира, подпомага и стимулира учениците и ги прави значими в учебния и извън учебния процес, владеещи полезни компетентности, осъзнати за силните си страни и способни да ги развиват и прилагат за себе си и в полза на общността.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МИСИЯ</w:t>
      </w:r>
    </w:p>
    <w:p w:rsidR="00D20636" w:rsidRPr="00D20636" w:rsidRDefault="00D00F29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Мисията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Ботев“, с. Дъбница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да подпомага учениците в развитието и усъвършенстването им в оптимална училищна среда, с квалифицирани учители и в партньорство с родителите. Усилията ни са насочени към придобиване от учениците, не само на базово образование, но и на актуални знания, умения и компетентности, които са им необходими, за да се реализират успешно в социалната среда, с проява на уважение към гражданските права на другите и отговорно собствено поведение.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 ОСНОВНА ЦЕЛ И ПРИОРИТЕТИ В ДЕЙНОСТТА НА УЧИЛИЩЕТО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ЦЕЛ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20636" w:rsidRPr="00D20636" w:rsidRDefault="00D00F29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Ботев“, с. Дъбница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условията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града и общината и се превърне от училище за всички в училище за всеки.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ПРИОРИТЕТИ В ДЕЙНОСТТА НА УЧИЛИЩЕТО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ЗПУО и ДОС</w:t>
      </w:r>
      <w:r w:rsidRPr="00D206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1.1. Планиране, организация и контрол на дейността на училището.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Осъществяване на привлекателен и мотивиращ процес на образование, възпитание и социализация.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Осъществяване на обучение по учебни планове за профили и професии съобразно потребностите и интересите на учениците и възможностите на училищната институция.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Възпитание в патриотизъм и национално самосъзнание.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2.2. </w:t>
      </w:r>
      <w:proofErr w:type="spellStart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Ритуализация</w:t>
      </w:r>
      <w:proofErr w:type="spellEnd"/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училищния живот.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2.3. Утвърждаване на ученическото самоуправление.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Екологична култура и навици за здравословен начин на живот.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2.5. Превенция на агресията и негативните прояви сред учениците.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2.6. Подкрепа на личностното развитие на учениците.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 Училището – желано място за обучение, изява и подкрепа за личностното развитие на учениците: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Извънкласни и извънучилищни форми.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3.2. Създаване и поддържане на благоприятна среда за обучение и развитие.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3.3. Обновяване и обогатяване на материалната база.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 Повишаване на професионалната компетентност и квалификация на педагогическите кадри: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1.4. Квалификация на педагогическите кадри.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5. Взаимодействия с родители, институции и структури, работещи в областта на образованието и младежта: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5.1. Взаимодействие с родителите.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5.2. Взаимодействие с институции.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5.3. Присъствие на училището в общественото пространство.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438F2" w:rsidRDefault="00F438F2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ЕТАПИ В ИЗПЪЛНЕНИЕТО НА СТРАТЕГИЯТА</w:t>
      </w:r>
    </w:p>
    <w:p w:rsidR="00D20636" w:rsidRPr="00D20636" w:rsidRDefault="008B4D02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етап 1 (2020/2021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г.)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разработване на стратегията, на п</w:t>
      </w:r>
      <w:r w:rsidR="00D00F29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лана за изпълнение през 2021/2022</w:t>
      </w:r>
      <w:r w:rsidR="00D20636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 година, формиране на училищната политика и изготвяне на училищните документи в съответствие с разпоредбите на ЗПУО и ДОС.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етап 2 (</w:t>
      </w:r>
      <w:r w:rsidR="00D00F29">
        <w:rPr>
          <w:rFonts w:ascii="Times New Roman" w:eastAsia="Times New Roman" w:hAnsi="Times New Roman" w:cs="Times New Roman"/>
          <w:sz w:val="24"/>
          <w:szCs w:val="24"/>
          <w:lang w:eastAsia="bg-BG"/>
        </w:rPr>
        <w:t>2022/2023</w:t>
      </w:r>
      <w:r w:rsidR="008B4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2023/2024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г.) – реализация на основните дейности, наблюдение и оценка на изпълнението.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етап 3 (</w:t>
      </w:r>
      <w:r w:rsidR="00D00F29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8B4D02">
        <w:rPr>
          <w:rFonts w:ascii="Times New Roman" w:eastAsia="Times New Roman" w:hAnsi="Times New Roman" w:cs="Times New Roman"/>
          <w:sz w:val="24"/>
          <w:szCs w:val="24"/>
          <w:lang w:eastAsia="bg-BG"/>
        </w:rPr>
        <w:t>5 г.</w:t>
      </w:r>
      <w:r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)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анализ на изпълнението и постигнатите очаквани резултати, планиране на следващия програмен период.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ПЛАН ЗА ДЕЙСТВИЕ И ФИНАНСИРАНЕ НА ДЕЙНОСТИТЕ ПО ИЗПЪЛНЕНИЕ НА ПРИОРИТЕТИТЕ</w:t>
      </w:r>
    </w:p>
    <w:p w:rsidR="00D20636" w:rsidRPr="00D20636" w:rsidRDefault="00D20636" w:rsidP="00D2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12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4826"/>
        <w:gridCol w:w="1279"/>
        <w:gridCol w:w="2010"/>
        <w:gridCol w:w="1610"/>
      </w:tblGrid>
      <w:tr w:rsidR="00D20636" w:rsidRPr="00D20636" w:rsidTr="00D20636">
        <w:trPr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Приоритетни направления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Изпълнител/и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Финансиране</w:t>
            </w:r>
          </w:p>
        </w:tc>
      </w:tr>
      <w:tr w:rsidR="00D20636" w:rsidRPr="00D20636" w:rsidTr="00D20636">
        <w:trPr>
          <w:jc w:val="center"/>
        </w:trPr>
        <w:tc>
          <w:tcPr>
            <w:tcW w:w="142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ЗПУО И ДОС: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1.1. Планиране, организация и контрол на дейността на училището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1.1.1. Изготвяне и актуализация на основните училищни документи в съответствие със ЗПУО и ДОС: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-планове, правилници, училищни учебни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планове;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годишна програма за ЦОУД;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мерки за подобряване на учебните резултати, програма за превенция на отпадането;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1.1.2. Изграждане на постоянни училищни комисии за планиране и организация на основните направления в дейността на училището.</w:t>
            </w:r>
          </w:p>
          <w:p w:rsidR="00D20636" w:rsidRPr="00D20636" w:rsidRDefault="00D20636" w:rsidP="008B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1.1.3. Кадрова осигуреност на общообразователн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 и профилираната подготовка: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актуализиране на училищната програма за часовете, които не се водят от учители- специалисти по време на заместване на отсъстващия учител.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1.1.4. Поддържане на оптимален за пълноценното осъществяване на дейността на училището състав на непедагогическия персонал.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1.1.5. Разработване на система от критерии и показатели за оценка на дейността на учителите и служителите в училището, обвързана с резултатите и постиженията. Гъвкаво използване на системата за оценяване на постигнатите резултати от труда на педагогическите специалисти за определяне на ДМС на педагогическите специалисти и непедагогическия персонал.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1.1.6. Осъществяване на училищния и държавен п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лан – прием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1.1.7. Оптимизиране на училищните учебни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планове – разширяване кръга на учебните предмети, изучавани в избираемите и факултативните часове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1.1.8. Осъществяване на ефект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ивен контрол на директора и ЗДУ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съобразно целите на стратегията и на дейностите в процеса на училищното образование и своевременно предприемане на действия за тяхното подобряване.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1.1.9. Изграждане на училищна система за качество: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Адаптиране на политики за постигането на образователните цели спрямо ЗПУО и стандартите.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специалисти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1.2. Осъществяване на привлекателен и мотивиращ процес на обучение, възпитание и социализация.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1.2.1. Поетапно въвеждане на учебни планове, организация и провеждане на процеса на образование в съответствие със ЗПУО и преминаване към новата структура на гимназиалното обучение.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1.2.3. Промяна на стила и методите на работа и ориентиране на обучението към потребностите на отделната личност.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1.2.4. Подкрепа за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1.2.5. Осъществяване на всеки етап от процеса на училищното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1.2.6. Осъществяване на разширена и профилирана подготовка и факултативни учебни часове съобразно възможностите на училището и потребностите на учениците.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1.2.7. Издигане равнището на функционалната грамотност (четивна, математическа, по природни науки) за постигане на умения за успяване.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постоянно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специалисти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1.3. Осъществяване на обучение по учебни планове за профили и професии съобразно потребностите и интересите на учениците и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възможностите на училищната институция.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1.3.1. Изго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твяне на предложение за план-прием за учебната 2021/2022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 съгласно:</w:t>
            </w:r>
          </w:p>
          <w:p w:rsidR="00D20636" w:rsidRPr="00D20636" w:rsidRDefault="00D20636" w:rsidP="008B4D0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Рамков учебен план за профилирано образование с интензивно изучаване на чужд език 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1.3.2. Научно осигуряване 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профилираната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подготовка с учебна документация, нови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учебници и помагала.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1.3.3. Разработване на критерии и показатели за оценява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качеството на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подготовка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специалисти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</w:t>
            </w:r>
          </w:p>
        </w:tc>
      </w:tr>
      <w:tr w:rsidR="00D20636" w:rsidRPr="00D20636" w:rsidTr="00D20636">
        <w:trPr>
          <w:jc w:val="center"/>
        </w:trPr>
        <w:tc>
          <w:tcPr>
            <w:tcW w:w="142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2.1. Възпитание в патриотизъм и национално самосъзнание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2.1.1. Насоченост на обучението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2.1.2. Целенасочена работа по класове, съобразена с възрастта на учениците и особеностите в тяхното развитие и интереси.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2.1.3. Реализиране на дейности за повишаване информираността на учениците по въпроси като: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функциите на инс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титуции и управленски структури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правата на човека, дискриминацията, равнопоставеността на половете;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здравна култура и здравословен начин на живот.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2.1.4. Участие в организацията и провеждането на училищни дейности и кампании, свързани с исторически събития или обществено значими инициативи.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2.1.5. Участие в кампании по актуални теми, свързани с политиките на ЕС.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специалисти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МОН.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8B4D02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2.2. Съз</w:t>
            </w:r>
            <w:r w:rsidR="00D20636"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даване на </w:t>
            </w:r>
            <w:r w:rsidR="00D20636"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ученическото самоуправление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8B4D02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2.2.1. Разясняване</w:t>
            </w:r>
            <w:r w:rsidR="00D20636"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ролята на съветите на класа </w:t>
            </w:r>
            <w:r w:rsidR="00D20636"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 Ученическия парламент при организиране и осъществяване дейността на училището.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образователния процес.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Класни ръководители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Училищен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2.3. Екологична култура и навици за здравословен начин на живот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2.3.1. Целенасочена работа (Програма за здравно образование, спортно-туристически календар), насочена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2.3.2. Инициативи и мероприятия на училищния клуб,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2.3.3. Обучения за: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безопасност на движението;</w:t>
            </w:r>
          </w:p>
          <w:p w:rsidR="00D20636" w:rsidRPr="00D20636" w:rsidRDefault="00D20636" w:rsidP="008B4D0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действия при бедстви</w:t>
            </w:r>
            <w:r w:rsidR="008B4D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я, аварии, катастрофи и пожари;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поведение при кризи и екстремни ситуации.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2.3.4. Съвместни д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ейности с институциите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придобиване на екологична култура.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2.3.5. Изпълнение на училищни проекти за подпомагане на физическото възпитание и спорта.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2.4. Превенция на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агресията и негативните прояви сред учениците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2.4.1. Провеждане на училищна политика 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разработване на програма за превенция на агресията и негативните прояви сред учениците.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2.4.3. Изработване и приемане на правила за предотвратяване и решаване на конфликти.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Класни ръководители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Училищен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МОН.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2.5. Подкрепа за личностното развитие на учениците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2.5.1. Сформиране на екипи за подкрепа за личностното развитие на учениците, за които са идентифицирани: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обучителните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ученици със СОП: осигуряване на архитектурен, информационен и комуникационен достъп в училището;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изявени дарби: осигуряване на условия за развитие и изява на таланта.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2.5.2. Откриване и проследяване на развитието на ученици с изявен дарби, изготвяне на база данни и създаване на условия за тяхната изява на училищно и извънучилищно ниво.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2.5.3. Мотивиране на учителите и създаване на условия за работа с ученици с изявени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дарби чрез допълнително материално стимулиране и факултативни форми.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2.5.4. Изготвяне на програма за превенция на отпадането и/или преждевременното напускане на училище, която да съдържа: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мерки за превенция и ограничаване на отпадането;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действия за интервенция при отпадане и/или преждевременното напускане на училище.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142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3. УЧИЛИЩЕТО – ЖЕЛАНО МЯСТО ЗА ОБУЧЕНИЕ, ИЗЯВА И ПОДКРЕПА ЗА ЛИЧНОСТНОТО РАЗВИТИЕ НА УЧЕНИЦИТЕ.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3.1. Извънкласни и извънучилищни форми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3.1.1. Организиране на учениците в извънкласни и форми, стимулиращи техните интереси, таланти и творчески способности – проект „Подкрепа за успех“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3.1.3. Участие на ученици и ученически отбори в състезания, конкурси, олимпиади.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3.1.4. Участие на учениците в организацията и провеждането на училищни празници и активности.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3.1.5. 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Учителите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3.2. Създаване и поддържане на благоприятна среда за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обучение и развитие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3.2.1. Осигуряване на здравословни и безопасни условия на обучение и труд.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3.2.2. Подходящо интериорно оформление на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учебните помещения.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3.2.3. Създаване на благоприятна и толерантна атмосфера на общуване, доверие и взаимопомощ.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3.2.4. Подкрепа на инициативността и творческата активност.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3.2.5.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Целенасочена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училищна политика за превенция на отпадането и/или преждевременното напускане на училище спрямо ученици в риск: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 за преодоляване на обучителни трудности – допълнителна работа и консултации, преодоляване на обучителни затруднения;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на отсъствията от училище;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своевременна индивидуална интервенция спрямо учениците в риск с цел мотивиране и преодоляване на риска от отпадане.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8A77BF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ЗДУ</w:t>
            </w:r>
            <w:r w:rsidR="00D20636"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Педагогическите специалисти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Училищен бюджет, изпълнение </w:t>
            </w: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3.3. Обновяване и обогатяване на материалната база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3.3.1. Модернизиране на базата по 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3.3.2. Поддръжка и текущ ремонт на учебните и помощните помещения.</w:t>
            </w:r>
          </w:p>
          <w:p w:rsidR="00D20636" w:rsidRPr="00D20636" w:rsidRDefault="008A77BF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3.3.3. Изграждане и  поддръжка на система</w:t>
            </w:r>
            <w:r w:rsidR="00D20636"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постоянно видеонаблюдение и спазване на пропускателния режим.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3.3.4. Поддръжка и поетапно обновяване на компютърната и комуникационната техника.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3.3.5. Осигуряване на ресурси за е-обучение, използване на електронни образователни ресурси.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8A77BF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ЗДУ</w:t>
            </w:r>
            <w:r w:rsidR="00D20636"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</w:t>
            </w:r>
            <w:r w:rsidR="008A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МОН</w:t>
            </w:r>
          </w:p>
        </w:tc>
      </w:tr>
      <w:tr w:rsidR="00D20636" w:rsidRPr="00D20636" w:rsidTr="00D20636">
        <w:trPr>
          <w:jc w:val="center"/>
        </w:trPr>
        <w:tc>
          <w:tcPr>
            <w:tcW w:w="142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 ПОВИШАВАНЕ НА ПРОФЕСИОНАЛНАТА КОМПЕТЕНТНОСТ И КВАЛИФИКАЦИЯ НА ПЕДАГОГИЧЕСКИТЕ СПЕЦИАЛИСТИ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1.4. Квалификация на педагогическите кадри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15 от 22.07.2019 г. за статута и професионалното развитие на учителите, директорите и другите педагогически специалисти.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1.4.2. Осигуряване на условия и възможности за усъвършенстване и обогатяване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въвеждаща и продължаваща квалификация в зависимост от потребностите, целите и съдържанието на обученията: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proofErr w:type="spellStart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вътрешноинституционална</w:t>
            </w:r>
            <w:proofErr w:type="spellEnd"/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квалификационна дейност – не по-малко от 16 академични часа годишно за всеки педагогически специалист;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квалификационни форми на специализирани обслужващи звена, висши училища и научни и обучителни организации, по-малко от 48 академични часа за период на атестиране за всеки педагогически специалист.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1.4.3. Подготовка и провеждане на процедура за атестиране на педагогическите специалисти.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1.4.4. Мотивиране на учителите за придобиване на по-висока ПКС, като едно от основанията за по-бързо кариерно развитие.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1.4.5. Кариерно развитие: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ефективността на образованието.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77BF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20636" w:rsidRPr="00D20636" w:rsidRDefault="008A77BF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МО</w:t>
            </w:r>
            <w:r w:rsidR="00D20636"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142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5. ВЗАИМОДЕЙСТВИЯ С РОДИТЕЛИ, ИНСТИТУЦИИ И СТРУКТУРИ, РАБОТЕЩИ В ОБЛАСТТА НА ОБРАЗОВАНИЕТО И МЛАДЕЖТА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5.1. Взаимодействие с родителите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5.1.1. Структуриране и дейност на обществения съвет и училищното настоятелство.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5.1.3. Информираност на родителите и стимулиране на родителската активност: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5.1.4. Сътрудничество и съдействие от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родителите при: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училищни дейности;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процеса на кариерното информиране, ориентиране и развитие;</w:t>
            </w:r>
          </w:p>
          <w:p w:rsidR="00D20636" w:rsidRPr="00D20636" w:rsidRDefault="00D20636" w:rsidP="00D20636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D20636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   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идентифициран риск за ученика от отпадане и/или преждевременно напускане на училище.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5.1.5. Създаване на информационна банка с данни и координати за своевременна връзка с ученика и неговите родители.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5.2. Взаимодействие с институции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5.2.2. Реализиране на съвместни проекти с партниращи орг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анизации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дейци на науката, културата, изкуството и спорта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5.2.3. Изпълнение на съвместни проекти: съвмест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 с читалище-с. Дъбница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</w:t>
            </w:r>
          </w:p>
        </w:tc>
      </w:tr>
      <w:tr w:rsidR="00D20636" w:rsidRPr="00D20636" w:rsidTr="00D20636">
        <w:trPr>
          <w:jc w:val="center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5.3. Присъствие на училището в общественото пространство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5.3.1. Участие на учители и ученици в общински празници, състезания, форуми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5.3.3. Популяризиране на училището чрез информация в местните печатни и електронни медии.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5.3.4. Реализиране на системна и целенасочена рекламна стратегия за 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привличане и задържане на ученици.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5.3.5. Извършване на перспективен п</w:t>
            </w:r>
            <w:r w:rsidR="008A77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рием за ученици в начален</w:t>
            </w: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гимназиален етап с цел продължаване и завършване на образованието в нашето училище.</w:t>
            </w:r>
          </w:p>
          <w:p w:rsidR="00D20636" w:rsidRPr="00D20636" w:rsidRDefault="00D20636" w:rsidP="00D2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5.3.6. Организиране на информационни дейности в училището на ниво за учители, администрация, ученици и родители.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ежегодно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Директор;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Училищен бюджет, изпълнение на проекти,</w:t>
            </w:r>
          </w:p>
          <w:p w:rsidR="00D20636" w:rsidRPr="00D20636" w:rsidRDefault="00D20636" w:rsidP="00D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средства от МОН.</w:t>
            </w:r>
          </w:p>
        </w:tc>
      </w:tr>
    </w:tbl>
    <w:p w:rsidR="00D20636" w:rsidRPr="00D20636" w:rsidRDefault="00D20636" w:rsidP="00D2063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A77BF" w:rsidRDefault="008A77BF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ОЧАКВАНИ РЕЗУЛТАТИ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1.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Повишаване на качеството и ефективността на училищното образование: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по-голяма практическа приложимост на обучението и ориентирането му към конкретни резултати.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Успешно участие във външното оценяване и доразвиване и усъвършенстване на системата за вътрешно оценяване.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на възпитателната работа с децата и учениците с оглед пълноценно личностно развитие.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и стимулиране на формите за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 на положително отношение към училището и предлаганото училищно образование.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По-широко навлизане на нови технологии и методи на преподаване, насочени към личността на ученика.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Подобрена физическа и материална среда.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2.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Развиване на системата за квалификация и кариерно развитие на педагогическите специалисти: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авторитета и подпомагане на кариерното развитие на педагогическите специалисти в училището.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възможности за индивидуализация и диференциация при оценка на труда на педагогическите специалисти в училището.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Оптимизиране на квалификацията на педагогическите специалисти и непедагогическия персонал съобразно потребностите и целите на отделния специалист и училищната институция.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 професионален профил на работещите в училището.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3.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Утвърждаване на училището като център за формиране и развитие на личностни качества, умения и нагласи, изграждащи ценностната система на младите хора, културно, информационно и спортно средище: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Подобрена и благоприятна среда за обучение и личностно развитие.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модели на поведение, основани на идеите и принципите на гражданското образование.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Минимизирани прояви на агресия, насилие и други негативни прояви сред учениците.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Развиване на системата за извънкласни и извънучилищни дейности, които спомагат за по-добрата организация на свободното време и са насочени към развитие на личностния и творческия потенциал на учениците.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Повишена мотивация на учениците за участие в образователния процес, олимпиади, конкурси и състезания.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и укрепване на формите на ученическо самоуправление.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bg-BG"/>
        </w:rPr>
        <w:t>      </w:t>
      </w:r>
      <w:r w:rsidRPr="00D206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Активно взаимодействие с родителската общност, сътрудничество и активни връзки с общественост и публични институции: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Изградена устойчива образователна система с безусловна публичност и прозрачност на управление и състояние.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ролята на родителите при определяне цялостната политика на училището.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Удовлетворени очаквания на родителите.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Отваряне на училището към социалната среда.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постиженията на учениците и учителите.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VII. ИНДИКАТОРИ ЗА ИЗМЕРВАНЕ ЕФЕКТИВНОСТТА ОТ РЕАЛИЗИРАНЕ НА ПЛАНИРАНИТЕ ДЕЙНОСТИ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 срочен и годишен успех на учениците по учебни предмети и класове.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="008A7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Подобрени резултати от НВО 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участници и резултати от олимпиади, национални и международни конкурси, състезания и други творчески изяви.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отсъствия на учениците от учебни занятия.</w:t>
      </w:r>
    </w:p>
    <w:p w:rsidR="00D20636" w:rsidRPr="00D20636" w:rsidRDefault="00D20636" w:rsidP="008A77BF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="008A77B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изоставащите ученици.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ученици със СОП, с изявени дарби, с обучителни трудности и в риск от отпадане от училище, за които е осигурена подкрепа за личностно развитие.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ученици, преждевременно напуснали образователната система.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учители участвали в квалификационни форми и придобили по-висока ПКС.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разработени и реализирани национални и международни проекти и програми.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проведени публични изяви в полза на училището и общността с активното участие на родители и заинтересовани страни.</w:t>
      </w:r>
    </w:p>
    <w:p w:rsidR="00D20636" w:rsidRPr="00D20636" w:rsidRDefault="00D20636" w:rsidP="00D20636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Symbol" w:eastAsia="Times New Roman" w:hAnsi="Symbol" w:cs="Times New Roman"/>
          <w:sz w:val="24"/>
          <w:szCs w:val="24"/>
          <w:lang w:eastAsia="bg-BG"/>
        </w:rPr>
        <w:t></w:t>
      </w:r>
      <w:r w:rsidRPr="00D20636">
        <w:rPr>
          <w:rFonts w:ascii="Times New Roman" w:eastAsia="Times New Roman" w:hAnsi="Times New Roman" w:cs="Times New Roman"/>
          <w:sz w:val="14"/>
          <w:szCs w:val="14"/>
          <w:lang w:eastAsia="bg-BG"/>
        </w:rPr>
        <w:t>        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публикации и изяви в средствата за масова информация.</w:t>
      </w:r>
    </w:p>
    <w:p w:rsidR="00D20636" w:rsidRPr="00D20636" w:rsidRDefault="00D20636" w:rsidP="00D2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D20636" w:rsidRPr="00D20636" w:rsidRDefault="00D20636" w:rsidP="00D2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40C71" w:rsidRDefault="00140C71" w:rsidP="00D20636">
      <w:pPr>
        <w:ind w:left="-567" w:firstLine="567"/>
      </w:pPr>
    </w:p>
    <w:sectPr w:rsidR="00140C71" w:rsidSect="00A6418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6"/>
    <w:rsid w:val="00140C71"/>
    <w:rsid w:val="003A239C"/>
    <w:rsid w:val="008A77BF"/>
    <w:rsid w:val="008B4D02"/>
    <w:rsid w:val="008E52E0"/>
    <w:rsid w:val="00A64186"/>
    <w:rsid w:val="00D00F29"/>
    <w:rsid w:val="00D14583"/>
    <w:rsid w:val="00D20636"/>
    <w:rsid w:val="00F438F2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2063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D20636"/>
  </w:style>
  <w:style w:type="paragraph" w:styleId="a3">
    <w:name w:val="List Paragraph"/>
    <w:basedOn w:val="a"/>
    <w:uiPriority w:val="34"/>
    <w:qFormat/>
    <w:rsid w:val="00D2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2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2063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D20636"/>
  </w:style>
  <w:style w:type="paragraph" w:styleId="a3">
    <w:name w:val="List Paragraph"/>
    <w:basedOn w:val="a"/>
    <w:uiPriority w:val="34"/>
    <w:qFormat/>
    <w:rsid w:val="00D2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2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2021-01-12T09:23:00Z</cp:lastPrinted>
  <dcterms:created xsi:type="dcterms:W3CDTF">2020-12-15T09:20:00Z</dcterms:created>
  <dcterms:modified xsi:type="dcterms:W3CDTF">2021-01-12T09:24:00Z</dcterms:modified>
</cp:coreProperties>
</file>